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2B6" w14:textId="77777777" w:rsidR="00C84AA8" w:rsidRPr="00C84AA8" w:rsidRDefault="00C84AA8" w:rsidP="001650D9">
      <w:pPr>
        <w:shd w:val="clear" w:color="auto" w:fill="F7F7F8"/>
        <w:spacing w:after="150" w:line="276" w:lineRule="auto"/>
        <w:jc w:val="center"/>
        <w:rPr>
          <w:rFonts w:ascii="Arial Rounded MT Bold" w:eastAsia="Times New Roman" w:hAnsi="Arial Rounded MT Bold" w:cs="Arial"/>
          <w:sz w:val="28"/>
          <w:szCs w:val="28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СЪОБЩЕНИЕ</w:t>
      </w:r>
    </w:p>
    <w:p w14:paraId="42914417" w14:textId="7C8688A2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Провеждане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DE4C1F" w:rsidRPr="00DE4C1F">
        <w:rPr>
          <w:rFonts w:ascii="Calibri" w:eastAsia="Times New Roman" w:hAnsi="Calibri" w:cs="Calibri"/>
          <w:sz w:val="24"/>
          <w:szCs w:val="24"/>
          <w:lang w:val="bg-BG" w:eastAsia="bg-BG"/>
        </w:rPr>
        <w:t>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59EDF3FB" w14:textId="77777777" w:rsidR="00C84AA8" w:rsidRPr="00C84AA8" w:rsidRDefault="00C84AA8" w:rsidP="001650D9">
      <w:pPr>
        <w:shd w:val="clear" w:color="auto" w:fill="F7F7F8"/>
        <w:spacing w:after="150" w:line="276" w:lineRule="auto"/>
        <w:jc w:val="center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br/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УВАЖАЕМИ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ДАМИ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ГОСПОДА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>,</w:t>
      </w:r>
    </w:p>
    <w:p w14:paraId="105031F5" w14:textId="4B847FEB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настоящото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уведомяваме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заинтересованите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страни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че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ще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проведени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формата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„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“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предмет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: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DE4C1F" w:rsidRPr="00DE4C1F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6F993B86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1.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Становища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мнения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коментари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могат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да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изпращани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както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следва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48D745F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хартиен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носител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21B6418C" w14:textId="5346E70E" w:rsidR="00C84AA8" w:rsidRPr="00C84AA8" w:rsidRDefault="00C84AA8" w:rsidP="001650D9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Адрес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.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ул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. „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Александър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Стамболийски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“ </w:t>
      </w:r>
      <w:r w:rsidRPr="00E039F0">
        <w:rPr>
          <w:rFonts w:ascii="Arial" w:eastAsia="Times New Roman" w:hAnsi="Arial" w:cs="Arial"/>
          <w:sz w:val="24"/>
          <w:szCs w:val="24"/>
          <w:lang w:val="bg-BG" w:eastAsia="bg-BG"/>
        </w:rPr>
        <w:t>№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5</w:t>
      </w:r>
    </w:p>
    <w:p w14:paraId="67FD53F3" w14:textId="527833A6" w:rsidR="00C84AA8" w:rsidRPr="00C84AA8" w:rsidRDefault="00C84AA8" w:rsidP="001650D9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вниманието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кмета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председателя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Общински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съвет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-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</w:p>
    <w:p w14:paraId="7C8A850A" w14:textId="7BDB474C" w:rsidR="00C84AA8" w:rsidRPr="00C84AA8" w:rsidRDefault="00C84AA8" w:rsidP="001650D9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DE4C1F" w:rsidRPr="00DE4C1F">
        <w:rPr>
          <w:rFonts w:ascii="Calibri" w:eastAsia="Times New Roman" w:hAnsi="Calibri" w:cs="Calibri"/>
          <w:sz w:val="24"/>
          <w:szCs w:val="24"/>
          <w:lang w:val="bg-BG" w:eastAsia="bg-BG"/>
        </w:rPr>
        <w:t>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691EC2D2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електронен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път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5C24EB99" w14:textId="5B63B015" w:rsidR="00C84AA8" w:rsidRPr="00C84AA8" w:rsidRDefault="00C84AA8" w:rsidP="001650D9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ел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.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поща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hyperlink r:id="rId5" w:history="1">
        <w:r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Obshtina@nikopol.egov.bg</w:t>
        </w:r>
      </w:hyperlink>
      <w:r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hyperlink r:id="rId6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obs_nik@abv.bg</w:t>
        </w:r>
      </w:hyperlink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</w:p>
    <w:p w14:paraId="0F6F2959" w14:textId="6B72E300" w:rsidR="00C84AA8" w:rsidRPr="00C84AA8" w:rsidRDefault="00C84AA8" w:rsidP="001650D9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DE4C1F" w:rsidRPr="00DE4C1F">
        <w:rPr>
          <w:rFonts w:ascii="Calibri" w:eastAsia="Times New Roman" w:hAnsi="Calibri" w:cs="Calibri"/>
          <w:sz w:val="24"/>
          <w:szCs w:val="24"/>
          <w:lang w:val="bg-BG" w:eastAsia="bg-BG"/>
        </w:rPr>
        <w:t>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3691E9DD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2. 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Форма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обществената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консултация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16C59569" w14:textId="77777777" w:rsidR="00C84AA8" w:rsidRPr="00C84AA8" w:rsidRDefault="00C84AA8" w:rsidP="001650D9">
      <w:pPr>
        <w:numPr>
          <w:ilvl w:val="0"/>
          <w:numId w:val="3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.</w:t>
      </w:r>
    </w:p>
    <w:p w14:paraId="3501939E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3. 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Период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консултацията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1888F043" w14:textId="6A3AD6EF" w:rsidR="00C84AA8" w:rsidRPr="00C84AA8" w:rsidRDefault="00C84AA8" w:rsidP="001650D9">
      <w:pPr>
        <w:numPr>
          <w:ilvl w:val="0"/>
          <w:numId w:val="4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30 (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тридесет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)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</w:p>
    <w:p w14:paraId="58760857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lastRenderedPageBreak/>
        <w:t>4. 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Съдържание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документацията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432ACED1" w14:textId="11C52D3A" w:rsidR="00C84AA8" w:rsidRPr="00C84AA8" w:rsidRDefault="00C84AA8" w:rsidP="001650D9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DE4C1F" w:rsidRPr="00DE4C1F">
        <w:rPr>
          <w:rFonts w:ascii="Calibri" w:eastAsia="Times New Roman" w:hAnsi="Calibri" w:cs="Calibri"/>
          <w:sz w:val="24"/>
          <w:szCs w:val="24"/>
          <w:lang w:val="bg-BG" w:eastAsia="bg-BG"/>
        </w:rPr>
        <w:t>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5C4D0044" w14:textId="77777777" w:rsidR="00C84AA8" w:rsidRPr="00C84AA8" w:rsidRDefault="001650D9" w:rsidP="001650D9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hyperlink r:id="rId7" w:tgtFrame="_blank" w:history="1"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Проект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решение</w:t>
        </w:r>
      </w:hyperlink>
    </w:p>
    <w:p w14:paraId="30545DF4" w14:textId="20ABF11F" w:rsidR="00C84AA8" w:rsidRPr="00C84AA8" w:rsidRDefault="001650D9" w:rsidP="001650D9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hyperlink r:id="rId8" w:tgtFrame="_blank" w:history="1"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Проект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>„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Наредба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за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изменение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допълнение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Наредба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за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начални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цени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за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отдаване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под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наем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общински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обекти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терени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със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стопанско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и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административно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предназначение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в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община</w:t>
        </w:r>
        <w:r w:rsidR="00DE4C1F" w:rsidRPr="00DE4C1F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DE4C1F" w:rsidRPr="00DE4C1F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Никопол</w:t>
        </w:r>
        <w:r w:rsidR="00DE4C1F" w:rsidRPr="00DE4C1F">
          <w:rPr>
            <w:rFonts w:ascii="Arial Rounded MT Bold" w:eastAsia="Times New Roman" w:hAnsi="Arial Rounded MT Bold" w:cs="Arial Rounded MT Bold"/>
            <w:sz w:val="24"/>
            <w:szCs w:val="24"/>
            <w:lang w:val="bg-BG" w:eastAsia="bg-BG"/>
          </w:rPr>
          <w:t>“</w:t>
        </w:r>
        <w:r w:rsidR="00DE4C1F">
          <w:rPr>
            <w:rFonts w:eastAsia="Times New Roman" w:cs="Arial Rounded MT Bold"/>
            <w:sz w:val="24"/>
            <w:szCs w:val="24"/>
            <w:lang w:val="bg-BG" w:eastAsia="bg-BG"/>
          </w:rPr>
          <w:t xml:space="preserve"> </w:t>
        </w:r>
      </w:hyperlink>
    </w:p>
    <w:p w14:paraId="2FA52060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5. 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Координати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връзка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CD7C855" w14:textId="5164E349" w:rsidR="00C84AA8" w:rsidRPr="00C84AA8" w:rsidRDefault="00F930E9" w:rsidP="001650D9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Исмаил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Гюлянлиев</w:t>
      </w:r>
      <w:r w:rsidR="00C84AA8"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– </w:t>
      </w:r>
      <w:r w:rsidR="00C84AA8"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юрисконсулт</w:t>
      </w:r>
      <w:r w:rsidR="00C84AA8"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C84AA8"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</w:p>
    <w:p w14:paraId="2D2D4D55" w14:textId="5C2934C4" w:rsidR="00C84AA8" w:rsidRPr="00C84AA8" w:rsidRDefault="00C84AA8" w:rsidP="001650D9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телефон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връзка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: 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06541/2190 </w:t>
      </w:r>
    </w:p>
    <w:p w14:paraId="3DFC7173" w14:textId="089145F9" w:rsidR="00C84AA8" w:rsidRPr="00C84AA8" w:rsidRDefault="00C84AA8" w:rsidP="001650D9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електронна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поща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  <w:hyperlink r:id="rId9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ismail.gyulyanliev@nikopol.egov.bg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</w:p>
    <w:p w14:paraId="18990BC4" w14:textId="77777777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6. 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Място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публикуване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отговори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9EBBAF1" w14:textId="39E5B8E8" w:rsidR="00F930E9" w:rsidRPr="00E039F0" w:rsidRDefault="001650D9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</w:pPr>
      <w:hyperlink r:id="rId10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sz w:val="24"/>
            <w:szCs w:val="24"/>
            <w:lang w:val="bg-BG" w:eastAsia="bg-BG"/>
          </w:rPr>
          <w:t>https://www.strategy.bg/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hyperlink r:id="rId11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sz w:val="24"/>
            <w:szCs w:val="24"/>
            <w:lang w:val="bg-BG" w:eastAsia="bg-BG"/>
          </w:rPr>
          <w:t>https://www.nikopol-bg.com/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</w:p>
    <w:p w14:paraId="3C9D3847" w14:textId="62197A64" w:rsidR="00C84AA8" w:rsidRPr="00C84AA8" w:rsidRDefault="00C84AA8" w:rsidP="001650D9">
      <w:pPr>
        <w:shd w:val="clear" w:color="auto" w:fill="F7F7F8"/>
        <w:spacing w:after="150" w:line="276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Всички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граждански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групи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организации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могат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изпращат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посочения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съобщението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пощенски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/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електронен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адрес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своите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становища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коментари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които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ще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публикувани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Единния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портал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интернет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страницата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="00E039F0" w:rsidRPr="00E039F0">
        <w:rPr>
          <w:rFonts w:ascii="Arial Rounded MT Bold" w:eastAsia="Times New Roman" w:hAnsi="Arial Rounded MT Bold" w:cs="Calibri"/>
          <w:sz w:val="24"/>
          <w:szCs w:val="24"/>
          <w:lang w:val="bg-BG" w:eastAsia="bg-BG"/>
        </w:rPr>
        <w:t>.</w:t>
      </w:r>
    </w:p>
    <w:p w14:paraId="22432E37" w14:textId="77777777" w:rsidR="00A414AF" w:rsidRDefault="00A414AF"/>
    <w:sectPr w:rsidR="00A414AF" w:rsidSect="001650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6BC"/>
    <w:multiLevelType w:val="multilevel"/>
    <w:tmpl w:val="B6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970EA"/>
    <w:multiLevelType w:val="multilevel"/>
    <w:tmpl w:val="344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B99"/>
    <w:multiLevelType w:val="multilevel"/>
    <w:tmpl w:val="D9E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9778F"/>
    <w:multiLevelType w:val="multilevel"/>
    <w:tmpl w:val="DD6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E1B57"/>
    <w:multiLevelType w:val="multilevel"/>
    <w:tmpl w:val="09D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06232"/>
    <w:multiLevelType w:val="multilevel"/>
    <w:tmpl w:val="E31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D294B"/>
    <w:multiLevelType w:val="multilevel"/>
    <w:tmpl w:val="8146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058359">
    <w:abstractNumId w:val="3"/>
  </w:num>
  <w:num w:numId="2" w16cid:durableId="2039620157">
    <w:abstractNumId w:val="4"/>
  </w:num>
  <w:num w:numId="3" w16cid:durableId="1539464017">
    <w:abstractNumId w:val="1"/>
  </w:num>
  <w:num w:numId="4" w16cid:durableId="1729836617">
    <w:abstractNumId w:val="5"/>
  </w:num>
  <w:num w:numId="5" w16cid:durableId="1424959807">
    <w:abstractNumId w:val="6"/>
  </w:num>
  <w:num w:numId="6" w16cid:durableId="629096697">
    <w:abstractNumId w:val="2"/>
  </w:num>
  <w:num w:numId="7" w16cid:durableId="90525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A8"/>
    <w:rsid w:val="001650D9"/>
    <w:rsid w:val="002A164D"/>
    <w:rsid w:val="004E10DB"/>
    <w:rsid w:val="00752C95"/>
    <w:rsid w:val="00A414AF"/>
    <w:rsid w:val="00C84AA8"/>
    <w:rsid w:val="00DE4C1F"/>
    <w:rsid w:val="00E039F0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BCD47"/>
  <w15:chartTrackingRefBased/>
  <w15:docId w15:val="{049D3C5A-A8EB-45F5-8149-AF33D08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C84AA8"/>
    <w:rPr>
      <w:b/>
      <w:bCs/>
    </w:rPr>
  </w:style>
  <w:style w:type="character" w:styleId="a5">
    <w:name w:val="Hyperlink"/>
    <w:basedOn w:val="a0"/>
    <w:uiPriority w:val="99"/>
    <w:unhideWhenUsed/>
    <w:rsid w:val="00C84A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8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82/9521834/%D0%9F%D1%80%D0%BE%D0%B5%D0%BA%D1%82+%D0%BD%D0%B0+%D0%BD%D0%B0%D1%80%D0%B5%D0%B4%D0%B1%D0%B0.pdf/6d234a6e-45de-4b48-b907-443da288ee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82/9521834/%D0%9F%D1%80%D0%BE%D0%B5%D0%BA%D1%82+%D0%BD%D0%B0+%D1%80%D0%B5%D1%88%D0%B5%D0%BD%D0%B8%D0%B5.pdf/d72e4a3c-0a62-4a96-8dff-b51621523e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nik@abv.bg" TargetMode="External"/><Relationship Id="rId11" Type="http://schemas.openxmlformats.org/officeDocument/2006/relationships/hyperlink" Target="https://www.nikopol-bg.com/" TargetMode="External"/><Relationship Id="rId5" Type="http://schemas.openxmlformats.org/officeDocument/2006/relationships/hyperlink" Target="mailto:Obshtina@nikopol.egov.bg" TargetMode="External"/><Relationship Id="rId10" Type="http://schemas.openxmlformats.org/officeDocument/2006/relationships/hyperlink" Target="https://www.strategy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il.gyulyanliev@nikopol.e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4</cp:revision>
  <cp:lastPrinted>2022-07-05T10:20:00Z</cp:lastPrinted>
  <dcterms:created xsi:type="dcterms:W3CDTF">2022-07-05T10:19:00Z</dcterms:created>
  <dcterms:modified xsi:type="dcterms:W3CDTF">2022-07-05T10:20:00Z</dcterms:modified>
</cp:coreProperties>
</file>